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CC38F6">
        <w:rPr>
          <w:rFonts w:ascii="Arial" w:hAnsi="Arial"/>
        </w:rPr>
        <w:t>1</w:t>
      </w:r>
      <w:r w:rsidR="00E07826" w:rsidRPr="001D1C6C">
        <w:rPr>
          <w:rFonts w:ascii="Arial" w:hAnsi="Arial"/>
        </w:rPr>
        <w:t xml:space="preserve">, </w:t>
      </w:r>
      <w:r w:rsidR="00CC38F6">
        <w:rPr>
          <w:rFonts w:ascii="Arial" w:hAnsi="Arial"/>
        </w:rPr>
        <w:t>L1-RSRP SSB-based</w:t>
      </w:r>
      <w:r w:rsidRPr="001D1C6C">
        <w:rPr>
          <w:rFonts w:ascii="Arial" w:hAnsi="Arial"/>
        </w:rPr>
        <w:t xml:space="preserve"> measurements in EN-DC</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CC38F6">
        <w:rPr>
          <w:rFonts w:ascii="Arial" w:hAnsi="Arial"/>
        </w:rPr>
        <w:t>L1-RSRP SSB-based</w:t>
      </w:r>
      <w:r w:rsidR="00CC38F6" w:rsidRPr="001D1C6C">
        <w:rPr>
          <w:rFonts w:ascii="Arial" w:hAnsi="Arial"/>
        </w:rPr>
        <w:t xml:space="preserve"> measurements in </w:t>
      </w:r>
      <w:r w:rsidRPr="001D1C6C">
        <w:rPr>
          <w:rFonts w:ascii="Arial" w:hAnsi="Arial"/>
        </w:rPr>
        <w:t>NR standalone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A.5.7.4.1</w:t>
      </w:r>
      <w:r w:rsidRPr="00DC3C9B">
        <w:rPr>
          <w:rFonts w:ascii="Arial" w:eastAsia="Times New Roman" w:hAnsi="Arial"/>
          <w:snapToGrid w:val="0"/>
          <w:sz w:val="24"/>
          <w:highlight w:val="lightGray"/>
          <w:lang w:eastAsia="ko-KR"/>
        </w:rPr>
        <w:tab/>
        <w:t>SSB based L1-RSRP measurement</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Description</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120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120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240 kHz SSB SCS, 100 MHz bandwidth, TDD duplex mode</w:t>
            </w:r>
          </w:p>
        </w:tc>
      </w:tr>
      <w:tr w:rsidR="00DC3C9B" w:rsidRPr="00DC3C9B" w:rsidTr="009207F4">
        <w:tc>
          <w:tcPr>
            <w:tcW w:w="2376" w:type="dxa"/>
            <w:shd w:val="clear" w:color="auto" w:fill="auto"/>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4</w:t>
            </w:r>
          </w:p>
        </w:tc>
        <w:tc>
          <w:tcPr>
            <w:tcW w:w="7479" w:type="dxa"/>
            <w:shd w:val="clear" w:color="auto" w:fill="auto"/>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240 kHz SSB SCS, 100 MHz bandwidth, TDD duplex mode</w:t>
            </w:r>
          </w:p>
        </w:tc>
      </w:tr>
      <w:tr w:rsidR="00DC3C9B" w:rsidRPr="00DC3C9B" w:rsidTr="009207F4">
        <w:tc>
          <w:tcPr>
            <w:tcW w:w="9855" w:type="dxa"/>
            <w:gridSpan w:val="2"/>
            <w:shd w:val="clear" w:color="auto" w:fill="auto"/>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w:t>
            </w:r>
            <w:r w:rsidRPr="00DC3C9B">
              <w:rPr>
                <w:rFonts w:ascii="Arial" w:eastAsia="Times New Roman" w:hAnsi="Arial"/>
                <w:sz w:val="18"/>
                <w:highlight w:val="lightGray"/>
                <w:lang w:eastAsia="ko-KR"/>
              </w:rPr>
              <w:tab/>
              <w:t xml:space="preserve">The UE is only required to be tested in one of the supported test configurations in each supported band </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A.5.7.4.1.2</w:t>
      </w:r>
      <w:r w:rsidRPr="00DC3C9B">
        <w:rPr>
          <w:rFonts w:ascii="Arial" w:eastAsia="Times New Roman" w:hAnsi="Arial"/>
          <w:sz w:val="22"/>
          <w:highlight w:val="lightGray"/>
          <w:lang w:eastAsia="ko-KR"/>
        </w:rPr>
        <w:tab/>
        <w:t>Test parameters</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In this set of test cases </w:t>
      </w:r>
      <w:r w:rsidRPr="00DC3C9B">
        <w:rPr>
          <w:rFonts w:eastAsia="Times New Roman" w:cs="v4.2.0"/>
          <w:highlight w:val="lightGray"/>
          <w:lang w:eastAsia="ko-KR"/>
        </w:rPr>
        <w:t xml:space="preserve">there are two cells in the test, E-UTRAN </w:t>
      </w:r>
      <w:proofErr w:type="spellStart"/>
      <w:r w:rsidRPr="00DC3C9B">
        <w:rPr>
          <w:rFonts w:eastAsia="Times New Roman" w:cs="v4.2.0"/>
          <w:highlight w:val="lightGray"/>
          <w:lang w:eastAsia="ko-KR"/>
        </w:rPr>
        <w:t>PCell</w:t>
      </w:r>
      <w:proofErr w:type="spellEnd"/>
      <w:r w:rsidRPr="00DC3C9B">
        <w:rPr>
          <w:rFonts w:eastAsia="Times New Roman" w:cs="v4.2.0"/>
          <w:highlight w:val="lightGray"/>
          <w:lang w:eastAsia="ko-KR"/>
        </w:rPr>
        <w:t xml:space="preserve"> (Cell 1), FR2 </w:t>
      </w:r>
      <w:proofErr w:type="spellStart"/>
      <w:r w:rsidRPr="00DC3C9B">
        <w:rPr>
          <w:rFonts w:eastAsia="Times New Roman" w:cs="v4.2.0"/>
          <w:highlight w:val="lightGray"/>
          <w:lang w:eastAsia="ko-KR"/>
        </w:rPr>
        <w:t>PSCell</w:t>
      </w:r>
      <w:proofErr w:type="spellEnd"/>
      <w:r w:rsidRPr="00DC3C9B">
        <w:rPr>
          <w:rFonts w:eastAsia="Times New Roman" w:cs="v4.2.0"/>
          <w:highlight w:val="lightGray"/>
          <w:lang w:eastAsia="ko-KR"/>
        </w:rPr>
        <w:t xml:space="preserve"> (Cell 2)</w:t>
      </w:r>
      <w:r w:rsidRPr="00DC3C9B">
        <w:rPr>
          <w:rFonts w:eastAsia="Times New Roman"/>
          <w:highlight w:val="lightGray"/>
          <w:lang w:eastAsia="ko-KR"/>
        </w:rPr>
        <w:t xml:space="preserve">. The test parameters and applicability for Cell 1 are defined in A.3.7.2. The test parameters for the Cell 2 are given in Table </w:t>
      </w:r>
      <w:r w:rsidRPr="00DC3C9B">
        <w:rPr>
          <w:rFonts w:eastAsia="Times New Roman"/>
          <w:highlight w:val="lightGray"/>
          <w:lang w:eastAsia="ko-KR"/>
        </w:rPr>
        <w:lastRenderedPageBreak/>
        <w:t>A.5.7.4.1.2-1 and Table A.5.7.4.1.2-2 below. The absolute and relative accuracy of L1-RSRP measurements are tested by using the parameters in Table A.5.7.4.1.2-1 and Table A.5.7.4.1.2-2.</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There is no measurement gap configured in the test. Before the test, UE is configured one SSB resource set with two SSB resources. UE is configured to perform RLM, BFD and L1-RSRP measurement based on the SSB resources 0 and 1.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r>
      <w:tr w:rsidR="00DC3C9B" w:rsidRPr="00DC3C9B" w:rsidTr="009207F4">
        <w:trPr>
          <w:trHeight w:val="279"/>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r>
      <w:tr w:rsidR="00DC3C9B" w:rsidRPr="00DC3C9B" w:rsidTr="009207F4">
        <w:trPr>
          <w:trHeight w:val="284"/>
          <w:jc w:val="center"/>
        </w:trPr>
        <w:tc>
          <w:tcPr>
            <w:tcW w:w="2733"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 xml:space="preserve">TDD </w:t>
            </w:r>
            <w:proofErr w:type="spellStart"/>
            <w:r w:rsidRPr="00DC3C9B">
              <w:rPr>
                <w:rFonts w:ascii="Arial" w:eastAsia="Times New Roman" w:hAnsi="Arial"/>
                <w:sz w:val="18"/>
                <w:highlight w:val="lightGray"/>
                <w:lang w:val="it-IT" w:eastAsia="ko-KR"/>
              </w:rPr>
              <w:t>Configuration</w:t>
            </w:r>
            <w:proofErr w:type="spellEnd"/>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r>
      <w:tr w:rsidR="00DC3C9B" w:rsidRPr="00DC3C9B" w:rsidTr="009207F4">
        <w:trPr>
          <w:trHeight w:val="273"/>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r w:rsidRPr="00DC3C9B">
              <w:rPr>
                <w:rFonts w:ascii="Arial" w:eastAsia="Times New Roman" w:hAnsi="Arial"/>
                <w:sz w:val="18"/>
                <w:highlight w:val="lightGray"/>
                <w:lang w:val="en-US" w:eastAsia="ko-KR"/>
              </w:rPr>
              <w:t>BW</w:t>
            </w:r>
            <w:r w:rsidRPr="00DC3C9B">
              <w:rPr>
                <w:rFonts w:ascii="Arial" w:eastAsia="Times New Roman" w:hAnsi="Arial"/>
                <w:sz w:val="18"/>
                <w:highlight w:val="lightGray"/>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r>
      <w:tr w:rsidR="00DC3C9B" w:rsidRPr="00DC3C9B" w:rsidTr="009207F4">
        <w:trPr>
          <w:trHeight w:val="273"/>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Data RBs allocated</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1~4</w:t>
            </w:r>
          </w:p>
        </w:tc>
        <w:tc>
          <w:tcPr>
            <w:tcW w:w="1269"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r>
      <w:tr w:rsidR="00DC3C9B" w:rsidRPr="00DC3C9B" w:rsidTr="009207F4">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r>
      <w:tr w:rsidR="00DC3C9B" w:rsidRPr="00DC3C9B" w:rsidTr="009207F4">
        <w:trPr>
          <w:trHeight w:val="213"/>
          <w:jc w:val="center"/>
        </w:trPr>
        <w:tc>
          <w:tcPr>
            <w:tcW w:w="273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r>
      <w:tr w:rsidR="00DC3C9B" w:rsidRPr="00DC3C9B" w:rsidTr="009207F4">
        <w:trPr>
          <w:trHeight w:val="213"/>
          <w:jc w:val="center"/>
        </w:trPr>
        <w:tc>
          <w:tcPr>
            <w:tcW w:w="2733"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r>
      <w:tr w:rsidR="00DC3C9B" w:rsidRPr="00DC3C9B" w:rsidTr="009207F4">
        <w:trPr>
          <w:trHeight w:val="213"/>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r>
      <w:tr w:rsidR="00DC3C9B" w:rsidRPr="00DC3C9B" w:rsidTr="009207F4">
        <w:trPr>
          <w:trHeight w:val="86"/>
          <w:jc w:val="center"/>
        </w:trPr>
        <w:tc>
          <w:tcPr>
            <w:tcW w:w="2733"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 configuration</w:t>
            </w: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r>
      <w:tr w:rsidR="00DC3C9B" w:rsidRPr="00DC3C9B" w:rsidTr="009207F4">
        <w:trPr>
          <w:trHeight w:val="85"/>
          <w:jc w:val="center"/>
        </w:trPr>
        <w:tc>
          <w:tcPr>
            <w:tcW w:w="273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3,4</w:t>
            </w: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c>
          <w:tcPr>
            <w:tcW w:w="1557" w:type="dxa"/>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Del="00795D03"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zh-CN"/>
              </w:rPr>
              <w:t xml:space="preserve">PDCCH/PDSCH </w:t>
            </w:r>
            <w:r w:rsidRPr="00DC3C9B">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 xml:space="preserve">SMTC.1 </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perio</w:t>
            </w:r>
            <w:r w:rsidRPr="00DC3C9B">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w:t>
            </w:r>
            <w:r w:rsidRPr="00DC3C9B">
              <w:rPr>
                <w:rFonts w:ascii="Arial" w:eastAsia="Times New Roman" w:hAnsi="Arial"/>
                <w:sz w:val="18"/>
                <w:highlight w:val="lightGray"/>
                <w:lang w:val="en-US" w:eastAsia="ko-KR"/>
              </w:rPr>
              <w:t>iodic</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r>
      <w:tr w:rsidR="00DC3C9B" w:rsidRPr="00DC3C9B"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269"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r>
      <w:tr w:rsidR="00DC3C9B" w:rsidRPr="00DC3C9B" w:rsidTr="009207F4">
        <w:trPr>
          <w:trHeight w:val="152"/>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eastAsia="ko-KR"/>
              </w:rPr>
              <w:t xml:space="preserve">EPRE ratio of OCNG DMRS to </w:t>
            </w:r>
            <w:proofErr w:type="spellStart"/>
            <w:r w:rsidRPr="00DC3C9B">
              <w:rPr>
                <w:rFonts w:ascii="Arial" w:eastAsia="Times New Roman" w:hAnsi="Arial"/>
                <w:sz w:val="18"/>
                <w:szCs w:val="18"/>
                <w:highlight w:val="lightGray"/>
                <w:lang w:eastAsia="ko-KR"/>
              </w:rPr>
              <w:t>SSS</w:t>
            </w:r>
            <w:r w:rsidRPr="00DC3C9B">
              <w:rPr>
                <w:rFonts w:ascii="Arial" w:eastAsia="Times New Roman" w:hAnsi="Arial"/>
                <w:sz w:val="18"/>
                <w:szCs w:val="18"/>
                <w:highlight w:val="lightGray"/>
                <w:vertAlign w:val="superscript"/>
                <w:lang w:eastAsia="ko-KR"/>
              </w:rPr>
              <w:t>Note</w:t>
            </w:r>
            <w:proofErr w:type="spellEnd"/>
            <w:r w:rsidRPr="00DC3C9B">
              <w:rPr>
                <w:rFonts w:ascii="Arial" w:eastAsia="Times New Roman" w:hAnsi="Arial"/>
                <w:sz w:val="18"/>
                <w:szCs w:val="18"/>
                <w:highlight w:val="lightGray"/>
                <w:vertAlign w:val="superscript"/>
                <w:lang w:eastAsia="ko-KR"/>
              </w:rPr>
              <w:t xml:space="preserve"> 1</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trHeight w:val="145"/>
          <w:jc w:val="center"/>
        </w:trPr>
        <w:tc>
          <w:tcPr>
            <w:tcW w:w="273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OCNG to OCNG DMRS</w:t>
            </w:r>
            <w:r w:rsidRPr="00DC3C9B">
              <w:rPr>
                <w:rFonts w:ascii="Arial" w:eastAsia="Times New Roman" w:hAnsi="Arial"/>
                <w:sz w:val="18"/>
                <w:szCs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rsidTr="009207F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OCNG shall be used such that both cells are fully allocated and a constant total transmitted power spectral density is achieved for all OFDM symbols.</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DC3C9B">
              <w:rPr>
                <w:rFonts w:ascii="Arial" w:eastAsia="Times New Roman" w:hAnsi="Arial"/>
                <w:noProof/>
                <w:sz w:val="18"/>
                <w:highlight w:val="lightGray"/>
                <w:lang w:val="en-US" w:eastAsia="zh-CN"/>
              </w:rPr>
              <w:drawing>
                <wp:inline distT="0" distB="0" distL="0" distR="0" wp14:anchorId="215FE87D" wp14:editId="7766D275">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3C9B">
              <w:rPr>
                <w:rFonts w:ascii="Arial" w:eastAsia="Times New Roman" w:hAnsi="Arial"/>
                <w:sz w:val="18"/>
                <w:highlight w:val="lightGray"/>
                <w:lang w:eastAsia="ko-KR"/>
              </w:rPr>
              <w:t xml:space="preserve"> to be fulfilled.</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4"/>
        <w:gridCol w:w="835"/>
        <w:gridCol w:w="893"/>
        <w:gridCol w:w="993"/>
        <w:gridCol w:w="952"/>
        <w:gridCol w:w="1035"/>
        <w:gridCol w:w="887"/>
      </w:tblGrid>
      <w:tr w:rsidR="00DC3C9B" w:rsidRPr="00DC3C9B" w:rsidTr="009207F4">
        <w:trPr>
          <w:jc w:val="center"/>
        </w:trPr>
        <w:tc>
          <w:tcPr>
            <w:tcW w:w="2704" w:type="dxa"/>
            <w:vMerge w:val="restart"/>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Parameter</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2</w:t>
            </w:r>
            <w:r w:rsidRPr="00DC3C9B">
              <w:rPr>
                <w:rFonts w:ascii="Arial" w:eastAsia="Times New Roman" w:hAnsi="Arial"/>
                <w:b/>
                <w:sz w:val="18"/>
                <w:highlight w:val="lightGray"/>
                <w:vertAlign w:val="superscript"/>
                <w:lang w:eastAsia="ko-KR"/>
              </w:rPr>
              <w:t xml:space="preserve"> NOTE 3</w:t>
            </w:r>
          </w:p>
        </w:tc>
      </w:tr>
      <w:tr w:rsidR="00DC3C9B" w:rsidRPr="00DC3C9B" w:rsidTr="009207F4">
        <w:trPr>
          <w:jc w:val="center"/>
        </w:trPr>
        <w:tc>
          <w:tcPr>
            <w:tcW w:w="2704" w:type="dxa"/>
            <w:vMerge/>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35" w:type="dxa"/>
            <w:vMerge/>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r>
      <w:tr w:rsidR="00DC3C9B" w:rsidRPr="00DC3C9B" w:rsidTr="009207F4">
        <w:trPr>
          <w:jc w:val="center"/>
        </w:trPr>
        <w:tc>
          <w:tcPr>
            <w:tcW w:w="2704"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DC3C9B">
              <w:rPr>
                <w:rFonts w:ascii="Arial" w:eastAsia="Times New Roman" w:hAnsi="Arial"/>
                <w:sz w:val="18"/>
                <w:highlight w:val="lightGray"/>
                <w:lang w:val="da-DK" w:eastAsia="ko-KR"/>
              </w:rPr>
              <w:t>Angle of arrival configuration</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r>
      <w:tr w:rsidR="00DC3C9B" w:rsidRPr="00DC3C9B" w:rsidTr="009207F4">
        <w:trPr>
          <w:jc w:val="center"/>
        </w:trPr>
        <w:tc>
          <w:tcPr>
            <w:tcW w:w="2704" w:type="dxa"/>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cs="Arial"/>
                <w:sz w:val="18"/>
                <w:szCs w:val="18"/>
                <w:highlight w:val="lightGray"/>
                <w:lang w:val="en-US" w:eastAsia="ko-KR"/>
              </w:rPr>
              <w:t xml:space="preserve">Assumption for UE </w:t>
            </w:r>
            <w:proofErr w:type="spellStart"/>
            <w:r w:rsidRPr="00DC3C9B">
              <w:rPr>
                <w:rFonts w:ascii="Arial" w:eastAsia="Times New Roman" w:hAnsi="Arial" w:cs="Arial"/>
                <w:sz w:val="18"/>
                <w:szCs w:val="18"/>
                <w:highlight w:val="lightGray"/>
                <w:lang w:val="en-US" w:eastAsia="ko-KR"/>
              </w:rPr>
              <w:t>beams</w:t>
            </w:r>
            <w:r w:rsidRPr="00DC3C9B">
              <w:rPr>
                <w:rFonts w:ascii="Arial" w:eastAsia="Times New Roman" w:hAnsi="Arial" w:cs="Arial"/>
                <w:sz w:val="18"/>
                <w:szCs w:val="18"/>
                <w:highlight w:val="lightGray"/>
                <w:vertAlign w:val="superscript"/>
                <w:lang w:val="en-US" w:eastAsia="ko-KR"/>
              </w:rPr>
              <w:t>Note</w:t>
            </w:r>
            <w:proofErr w:type="spellEnd"/>
            <w:r w:rsidRPr="00DC3C9B">
              <w:rPr>
                <w:rFonts w:ascii="Arial" w:eastAsia="Times New Roman" w:hAnsi="Arial" w:cs="Arial"/>
                <w:sz w:val="18"/>
                <w:szCs w:val="18"/>
                <w:highlight w:val="lightGray"/>
                <w:vertAlign w:val="superscript"/>
                <w:lang w:val="en-US" w:eastAsia="ko-KR"/>
              </w:rPr>
              <w:t xml:space="preserve"> 4</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r>
      <w:tr w:rsidR="00DC3C9B" w:rsidRPr="00DC3C9B" w:rsidTr="009207F4">
        <w:trPr>
          <w:jc w:val="center"/>
        </w:trPr>
        <w:tc>
          <w:tcPr>
            <w:tcW w:w="2704" w:type="dxa"/>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DC3C9B">
              <w:rPr>
                <w:rFonts w:ascii="Arial" w:eastAsia="Calibri" w:hAnsi="Arial"/>
                <w:position w:val="-12"/>
                <w:sz w:val="18"/>
                <w:szCs w:val="22"/>
                <w:highlight w:val="lightGray"/>
                <w:lang w:val="en-US" w:eastAsia="ko-KR"/>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8" o:title=""/>
                </v:shape>
                <o:OLEObject Type="Embed" ProgID="Equation.3" ShapeID="_x0000_i1025" DrawAspect="Content" ObjectID="_1713943868" r:id="rId9"/>
              </w:objec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rsidTr="009207F4">
        <w:trPr>
          <w:jc w:val="center"/>
        </w:trPr>
        <w:tc>
          <w:tcPr>
            <w:tcW w:w="2704" w:type="dxa"/>
            <w:vMerge w:val="restart"/>
            <w:tcBorders>
              <w:top w:val="single" w:sz="4" w:space="0" w:color="auto"/>
              <w:left w:val="single" w:sz="4" w:space="0" w:color="auto"/>
              <w:right w:val="single" w:sz="4" w:space="0" w:color="auto"/>
            </w:tcBorders>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Calibri" w:hAnsi="Arial"/>
                <w:position w:val="-12"/>
                <w:sz w:val="18"/>
                <w:szCs w:val="22"/>
                <w:highlight w:val="lightGray"/>
                <w:lang w:val="en-US" w:eastAsia="ko-KR"/>
              </w:rPr>
              <w:object w:dxaOrig="405" w:dyaOrig="345">
                <v:shape id="_x0000_i1026" type="#_x0000_t75" style="width:15.75pt;height:15.75pt" o:ole="" fillcolor="window">
                  <v:imagedata r:id="rId8" o:title=""/>
                </v:shape>
                <o:OLEObject Type="Embed" ProgID="Equation.3" ShapeID="_x0000_i1026" DrawAspect="Content" ObjectID="_1713943869" r:id="rId10"/>
              </w:objec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dBm/SSB SCS</w:t>
            </w:r>
          </w:p>
        </w:tc>
        <w:tc>
          <w:tcPr>
            <w:tcW w:w="1945"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hint="eastAsia"/>
                <w:sz w:val="18"/>
                <w:highlight w:val="lightGray"/>
                <w:lang w:eastAsia="ko-KR"/>
              </w:rPr>
              <w:t>n.a.</w:t>
            </w:r>
          </w:p>
        </w:tc>
      </w:tr>
      <w:tr w:rsidR="00DC3C9B" w:rsidRPr="00DC3C9B" w:rsidTr="009207F4">
        <w:trPr>
          <w:jc w:val="center"/>
        </w:trPr>
        <w:tc>
          <w:tcPr>
            <w:tcW w:w="2704"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ko-KR"/>
              </w:rPr>
            </w:pPr>
            <w:r w:rsidRPr="00DC3C9B">
              <w:rPr>
                <w:rFonts w:ascii="Arial" w:eastAsia="Times New Roman" w:hAnsi="Arial"/>
                <w:sz w:val="18"/>
                <w:highlight w:val="lightGray"/>
                <w:lang w:val="sv-SE" w:eastAsia="ko-KR"/>
              </w:rPr>
              <w:t>3,4</w:t>
            </w:r>
          </w:p>
        </w:tc>
        <w:tc>
          <w:tcPr>
            <w:tcW w:w="893" w:type="dxa"/>
            <w:vMerge/>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p>
        </w:tc>
        <w:tc>
          <w:tcPr>
            <w:tcW w:w="1945"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Calibri" w:hAnsi="Arial"/>
                <w:sz w:val="18"/>
                <w:highlight w:val="lightGray"/>
                <w:lang w:eastAsia="ko-KR"/>
              </w:rPr>
              <w:t>-88</w:t>
            </w:r>
          </w:p>
        </w:tc>
        <w:tc>
          <w:tcPr>
            <w:tcW w:w="1922" w:type="dxa"/>
            <w:gridSpan w:val="2"/>
            <w:tcBorders>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DC3C9B">
              <w:rPr>
                <w:rFonts w:ascii="Arial" w:eastAsia="Times New Roman" w:hAnsi="Arial" w:hint="eastAsia"/>
                <w:sz w:val="18"/>
                <w:highlight w:val="lightGray"/>
                <w:lang w:eastAsia="ko-KR"/>
              </w:rPr>
              <w:t>n.a.</w:t>
            </w:r>
            <w:proofErr w:type="spellEnd"/>
          </w:p>
        </w:tc>
      </w:tr>
      <w:tr w:rsidR="00DC3C9B" w:rsidRPr="00DC3C9B"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620" w:dyaOrig="380">
                <v:shape id="_x0000_i1027" type="#_x0000_t75" style="width:31.5pt;height:15.75pt" o:ole="" fillcolor="window">
                  <v:imagedata r:id="rId11" o:title=""/>
                </v:shape>
                <o:OLEObject Type="Embed" ProgID="Equation.3" ShapeID="_x0000_i1027" DrawAspect="Content" ObjectID="_1713943870" r:id="rId12"/>
              </w:object>
            </w:r>
          </w:p>
        </w:tc>
        <w:tc>
          <w:tcPr>
            <w:tcW w:w="83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DC3C9B">
              <w:rPr>
                <w:rFonts w:ascii="Arial" w:eastAsia="Times New Roman" w:hAnsi="Arial" w:hint="eastAsia"/>
                <w:sz w:val="18"/>
                <w:highlight w:val="lightGray"/>
                <w:lang w:eastAsia="ko-KR"/>
              </w:rPr>
              <w:t>n.a.</w:t>
            </w:r>
            <w:proofErr w:type="spellEnd"/>
          </w:p>
        </w:tc>
      </w:tr>
      <w:tr w:rsidR="00DC3C9B" w:rsidRPr="00DC3C9B" w:rsidTr="009207F4">
        <w:trPr>
          <w:jc w:val="center"/>
        </w:trPr>
        <w:tc>
          <w:tcPr>
            <w:tcW w:w="2704"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Times New Roman" w:hAnsi="Arial"/>
                <w:sz w:val="18"/>
                <w:highlight w:val="lightGray"/>
                <w:lang w:eastAsia="ko-KR"/>
              </w:rPr>
              <w:t>SSB_RP</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ko-KR"/>
              </w:rPr>
              <w:t>As in Table B.2.4-2</w:t>
            </w:r>
          </w:p>
        </w:tc>
      </w:tr>
      <w:tr w:rsidR="00DC3C9B" w:rsidRPr="00DC3C9B" w:rsidTr="009207F4">
        <w:trPr>
          <w:jc w:val="center"/>
        </w:trPr>
        <w:tc>
          <w:tcPr>
            <w:tcW w:w="2704" w:type="dxa"/>
            <w:vMerge/>
            <w:tcBorders>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3,4</w:t>
            </w:r>
          </w:p>
        </w:tc>
        <w:tc>
          <w:tcPr>
            <w:tcW w:w="893" w:type="dxa"/>
            <w:vMerge/>
            <w:tcBorders>
              <w:left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9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-78</w:t>
            </w:r>
          </w:p>
        </w:tc>
        <w:tc>
          <w:tcPr>
            <w:tcW w:w="952"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-90</w:t>
            </w: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As in Table B.2.4-2</w:t>
            </w:r>
          </w:p>
        </w:tc>
      </w:tr>
      <w:tr w:rsidR="00DC3C9B" w:rsidRPr="00DC3C9B" w:rsidTr="009207F4">
        <w:trPr>
          <w:jc w:val="center"/>
        </w:trPr>
        <w:tc>
          <w:tcPr>
            <w:tcW w:w="2704"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Io</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-51.57</w:t>
            </w:r>
          </w:p>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22" w:type="dxa"/>
            <w:gridSpan w:val="2"/>
            <w:tcBorders>
              <w:top w:val="single" w:sz="4" w:space="0" w:color="auto"/>
              <w:left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SSB_RP+28.98</w:t>
            </w:r>
          </w:p>
        </w:tc>
      </w:tr>
      <w:tr w:rsidR="00DC3C9B" w:rsidRPr="00DC3C9B"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800" w:dyaOrig="380">
                <v:shape id="_x0000_i1028" type="#_x0000_t75" style="width:41.25pt;height:15.75pt" o:ole="" fillcolor="window">
                  <v:imagedata r:id="rId13" o:title=""/>
                </v:shape>
                <o:OLEObject Type="Embed" ProgID="Equation.3" ShapeID="_x0000_i1028" DrawAspect="Content" ObjectID="_1713943871" r:id="rId14"/>
              </w:object>
            </w:r>
          </w:p>
        </w:tc>
        <w:tc>
          <w:tcPr>
            <w:tcW w:w="835"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roofErr w:type="spellStart"/>
            <w:r w:rsidRPr="00DC3C9B">
              <w:rPr>
                <w:rFonts w:ascii="Arial" w:eastAsia="Times New Roman" w:hAnsi="Arial"/>
                <w:sz w:val="18"/>
                <w:highlight w:val="lightGray"/>
                <w:lang w:eastAsia="ko-KR"/>
              </w:rPr>
              <w:t>n.a.</w:t>
            </w:r>
            <w:proofErr w:type="spellEnd"/>
          </w:p>
        </w:tc>
      </w:tr>
      <w:tr w:rsidR="00DC3C9B" w:rsidRPr="00DC3C9B" w:rsidTr="009207F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SSB_RP and Io levels have been derived from other parameters for information purposes. They are not settable parameters themselves.</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Void</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eastAsia="ko-KR"/>
              </w:rPr>
              <w:tab/>
              <w:t>No additional noise is added by the test system in Test 2.</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val="en-US" w:eastAsia="ko-KR"/>
              </w:rPr>
              <w:t>Note 4:</w:t>
            </w:r>
            <w:r w:rsidRPr="00DC3C9B">
              <w:rPr>
                <w:rFonts w:ascii="Arial" w:eastAsia="Times New Roman" w:hAnsi="Arial"/>
                <w:sz w:val="18"/>
                <w:highlight w:val="lightGray"/>
                <w:lang w:val="en-US" w:eastAsia="ko-KR"/>
              </w:rPr>
              <w:tab/>
            </w:r>
            <w:r w:rsidRPr="00DC3C9B">
              <w:rPr>
                <w:rFonts w:ascii="Arial" w:eastAsia="Times New Roman" w:hAnsi="Arial"/>
                <w:sz w:val="18"/>
                <w:highlight w:val="lightGray"/>
                <w:lang w:eastAsia="ko-KR"/>
              </w:rPr>
              <w:t>Information about types of UE beam is given in B.2.1.3, and does not limit UE implementation or test system implementation</w:t>
            </w:r>
          </w:p>
        </w:tc>
      </w:tr>
    </w:tbl>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A.5.7.4.1.3</w:t>
      </w:r>
      <w:r w:rsidRPr="00DC3C9B">
        <w:rPr>
          <w:rFonts w:ascii="Arial" w:eastAsia="Times New Roman" w:hAnsi="Arial"/>
          <w:sz w:val="22"/>
          <w:highlight w:val="lightGray"/>
          <w:lang w:eastAsia="ko-KR"/>
        </w:rPr>
        <w:tab/>
        <w:t>Test Requirements</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bookmarkStart w:id="25" w:name="_Hlk16818485"/>
      <w:r w:rsidRPr="00DC3C9B">
        <w:rPr>
          <w:rFonts w:eastAsia="Times New Roman"/>
          <w:highlight w:val="lightGray"/>
          <w:lang w:eastAsia="ko-KR"/>
        </w:rPr>
        <w:t>After 320ms from the beginning of the test, the L1-RSRP measurement accuracy for SSB#0 and SSB#1 of Cell 2 shall fulfil the requirements in clauses 10.1.20.1.</w:t>
      </w:r>
      <w:bookmarkEnd w:id="25"/>
      <w:r w:rsidRPr="00DC3C9B">
        <w:rPr>
          <w:rFonts w:eastAsia="Times New Roman"/>
          <w:highlight w:val="lightGray"/>
          <w:lang w:eastAsia="ko-KR"/>
        </w:rPr>
        <w:t xml:space="preserve"> The following requirements are to be verified:</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2:</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 xml:space="preserve">SSB_RP0 -δ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min</w:t>
            </w:r>
            <w:proofErr w:type="spellEnd"/>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SSB_RP0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max</w:t>
            </w:r>
            <w:proofErr w:type="spellEnd"/>
          </w:p>
        </w:tc>
      </w:tr>
      <w:tr w:rsidR="00DC3C9B" w:rsidRPr="00DC3C9B" w:rsidTr="009207F4">
        <w:tc>
          <w:tcPr>
            <w:tcW w:w="2547"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 xml:space="preserve">SSB_RP1 -δ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min</w:t>
            </w:r>
            <w:proofErr w:type="spellEnd"/>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SSB_RP1 +δ + </w:t>
            </w:r>
            <w:proofErr w:type="spellStart"/>
            <w:r w:rsidRPr="00DC3C9B">
              <w:rPr>
                <w:rFonts w:ascii="Arial" w:eastAsia="Times New Roman" w:hAnsi="Arial" w:cs="Arial"/>
                <w:sz w:val="18"/>
                <w:szCs w:val="18"/>
                <w:highlight w:val="lightGray"/>
                <w:lang w:eastAsia="ko-KR"/>
              </w:rPr>
              <w:t>G</w:t>
            </w:r>
            <w:r w:rsidRPr="00DC3C9B">
              <w:rPr>
                <w:rFonts w:ascii="Arial" w:eastAsia="Times New Roman" w:hAnsi="Arial" w:cs="Arial"/>
                <w:sz w:val="18"/>
                <w:szCs w:val="18"/>
                <w:highlight w:val="lightGray"/>
                <w:vertAlign w:val="subscript"/>
                <w:lang w:eastAsia="ko-KR"/>
              </w:rPr>
              <w:t>max</w:t>
            </w:r>
            <w:proofErr w:type="spellEnd"/>
          </w:p>
        </w:tc>
      </w:tr>
      <w:tr w:rsidR="00DC3C9B" w:rsidRPr="00DC3C9B" w:rsidTr="009207F4">
        <w:tc>
          <w:tcPr>
            <w:tcW w:w="9629" w:type="dxa"/>
            <w:gridSpan w:val="2"/>
            <w:tcBorders>
              <w:top w:val="single" w:sz="4" w:space="0" w:color="auto"/>
              <w:left w:val="single" w:sz="4" w:space="0" w:color="auto"/>
              <w:bottom w:val="single" w:sz="4" w:space="0" w:color="auto"/>
              <w:right w:val="single" w:sz="4" w:space="0" w:color="auto"/>
            </w:tcBorders>
            <w:hideMark/>
          </w:tcPr>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proofErr w:type="spellStart"/>
            <w:r w:rsidRPr="00DC3C9B">
              <w:rPr>
                <w:rFonts w:ascii="Arial" w:eastAsia="Times New Roman" w:hAnsi="Arial"/>
                <w:sz w:val="18"/>
                <w:highlight w:val="lightGray"/>
                <w:lang w:eastAsia="ko-KR"/>
              </w:rPr>
              <w:t>SSB_RPn</w:t>
            </w:r>
            <w:proofErr w:type="spellEnd"/>
            <w:r w:rsidRPr="00DC3C9B">
              <w:rPr>
                <w:rFonts w:ascii="Arial" w:eastAsia="Times New Roman" w:hAnsi="Arial"/>
                <w:sz w:val="18"/>
                <w:highlight w:val="lightGray"/>
                <w:lang w:eastAsia="ko-KR"/>
              </w:rPr>
              <w:t xml:space="preserve"> is </w:t>
            </w:r>
            <w:proofErr w:type="gramStart"/>
            <w:r w:rsidRPr="00DC3C9B">
              <w:rPr>
                <w:rFonts w:ascii="Arial" w:eastAsia="Times New Roman" w:hAnsi="Arial"/>
                <w:sz w:val="18"/>
                <w:highlight w:val="lightGray"/>
                <w:lang w:eastAsia="ko-KR"/>
              </w:rPr>
              <w:t xml:space="preserve">the </w:t>
            </w:r>
            <w:r w:rsidRPr="00DC3C9B">
              <w:rPr>
                <w:rFonts w:ascii="Arial" w:eastAsia="Times New Roman" w:hAnsi="Arial"/>
                <w:sz w:val="18"/>
                <w:highlight w:val="lightGray"/>
                <w:lang w:val="en-US" w:eastAsia="ko-KR"/>
              </w:rPr>
              <w:t xml:space="preserve"> equivalent</w:t>
            </w:r>
            <w:proofErr w:type="gramEnd"/>
            <w:r w:rsidRPr="00DC3C9B">
              <w:rPr>
                <w:rFonts w:ascii="Arial" w:eastAsia="Times New Roman" w:hAnsi="Arial"/>
                <w:sz w:val="18"/>
                <w:highlight w:val="lightGray"/>
                <w:lang w:val="en-US" w:eastAsia="ko-KR"/>
              </w:rPr>
              <w:t xml:space="preserve"> power received by an antenna with 0dBi gain at the </w:t>
            </w:r>
            <w:proofErr w:type="spellStart"/>
            <w:r w:rsidRPr="00DC3C9B">
              <w:rPr>
                <w:rFonts w:ascii="Arial" w:eastAsia="Times New Roman" w:hAnsi="Arial"/>
                <w:sz w:val="18"/>
                <w:highlight w:val="lightGray"/>
                <w:lang w:val="en-US" w:eastAsia="ko-KR"/>
              </w:rPr>
              <w:t>centre</w:t>
            </w:r>
            <w:proofErr w:type="spellEnd"/>
            <w:r w:rsidRPr="00DC3C9B">
              <w:rPr>
                <w:rFonts w:ascii="Arial" w:eastAsia="Times New Roman" w:hAnsi="Arial"/>
                <w:sz w:val="18"/>
                <w:highlight w:val="lightGray"/>
                <w:lang w:val="en-US" w:eastAsia="ko-KR"/>
              </w:rPr>
              <w:t xml:space="preserve"> of the quiet zone configured in the test for the SSB n under consideration</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r>
            <w:proofErr w:type="spellStart"/>
            <w:r w:rsidRPr="00DC3C9B">
              <w:rPr>
                <w:rFonts w:ascii="Arial" w:eastAsia="Times New Roman" w:hAnsi="Arial"/>
                <w:sz w:val="18"/>
                <w:highlight w:val="lightGray"/>
                <w:lang w:val="en-US" w:eastAsia="ko-KR"/>
              </w:rPr>
              <w:t>G</w:t>
            </w:r>
            <w:r w:rsidRPr="00DC3C9B">
              <w:rPr>
                <w:rFonts w:ascii="Arial" w:eastAsia="Times New Roman" w:hAnsi="Arial"/>
                <w:sz w:val="18"/>
                <w:highlight w:val="lightGray"/>
                <w:vertAlign w:val="subscript"/>
                <w:lang w:val="en-US" w:eastAsia="ko-KR"/>
              </w:rPr>
              <w:t>min</w:t>
            </w:r>
            <w:proofErr w:type="spellEnd"/>
            <w:r w:rsidRPr="00DC3C9B">
              <w:rPr>
                <w:rFonts w:ascii="Arial" w:eastAsia="Times New Roman" w:hAnsi="Arial"/>
                <w:sz w:val="18"/>
                <w:highlight w:val="lightGray"/>
                <w:lang w:val="en-US" w:eastAsia="ko-KR"/>
              </w:rPr>
              <w:t xml:space="preserve"> and </w:t>
            </w:r>
            <w:proofErr w:type="spellStart"/>
            <w:r w:rsidRPr="00DC3C9B">
              <w:rPr>
                <w:rFonts w:ascii="Arial" w:eastAsia="Times New Roman" w:hAnsi="Arial"/>
                <w:sz w:val="18"/>
                <w:highlight w:val="lightGray"/>
                <w:lang w:val="en-US" w:eastAsia="ko-KR"/>
              </w:rPr>
              <w:t>G</w:t>
            </w:r>
            <w:r w:rsidRPr="00DC3C9B">
              <w:rPr>
                <w:rFonts w:ascii="Arial" w:eastAsia="Times New Roman" w:hAnsi="Arial"/>
                <w:sz w:val="18"/>
                <w:highlight w:val="lightGray"/>
                <w:vertAlign w:val="subscript"/>
                <w:lang w:val="en-US" w:eastAsia="ko-KR"/>
              </w:rPr>
              <w:t>max</w:t>
            </w:r>
            <w:proofErr w:type="spellEnd"/>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DC3C9B">
        <w:rPr>
          <w:rFonts w:ascii="Arial" w:eastAsia="SimSun" w:hAnsi="Arial"/>
        </w:rPr>
        <w:t>4.1</w:t>
      </w:r>
      <w:r w:rsidR="007648F3">
        <w:rPr>
          <w:rFonts w:ascii="Arial" w:eastAsia="SimSun" w:hAnsi="Arial"/>
        </w:rPr>
        <w:t>.2-1 and A.7.7.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rsidR="00DC3C9B" w:rsidRDefault="00DC3C9B" w:rsidP="00DC3C9B">
      <w:pPr>
        <w:autoSpaceDE w:val="0"/>
        <w:autoSpaceDN w:val="0"/>
        <w:adjustRightInd w:val="0"/>
        <w:spacing w:after="60"/>
        <w:jc w:val="both"/>
        <w:rPr>
          <w:rFonts w:ascii="Arial" w:hAnsi="Arial"/>
        </w:rPr>
      </w:pPr>
    </w:p>
    <w:p w:rsidR="00DC3C9B" w:rsidRPr="009F0D20" w:rsidRDefault="00DC3C9B" w:rsidP="00DC3C9B">
      <w:pPr>
        <w:spacing w:after="120"/>
        <w:jc w:val="both"/>
        <w:rPr>
          <w:rFonts w:ascii="Arial" w:hAnsi="Arial"/>
        </w:rPr>
      </w:pPr>
      <w:r w:rsidRPr="009F0D20">
        <w:rPr>
          <w:rFonts w:ascii="Arial" w:hAnsi="Arial"/>
        </w:rPr>
        <w:t xml:space="preserve">In </w:t>
      </w:r>
      <w:proofErr w:type="gramStart"/>
      <w:r w:rsidRPr="009F0D20">
        <w:rPr>
          <w:rFonts w:ascii="Arial" w:hAnsi="Arial"/>
        </w:rPr>
        <w:t>addition</w:t>
      </w:r>
      <w:proofErr w:type="gramEnd"/>
      <w:r w:rsidRPr="009F0D20">
        <w:rPr>
          <w:rFonts w:ascii="Arial" w:hAnsi="Arial"/>
        </w:rPr>
        <w:t xml:space="preserve"> there is a requirement to measure the relative accuracy of the same cell </w:t>
      </w:r>
      <w:r>
        <w:rPr>
          <w:rFonts w:ascii="Arial" w:hAnsi="Arial"/>
        </w:rPr>
        <w:t>for two different beams</w:t>
      </w:r>
      <w:r w:rsidRPr="009F0D20">
        <w:rPr>
          <w:rFonts w:ascii="Arial" w:hAnsi="Arial"/>
        </w:rPr>
        <w:t>. We propose to control one additional parameter for the test system:</w:t>
      </w:r>
    </w:p>
    <w:p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rsidR="00DC3C9B" w:rsidRPr="00DC3C9B" w:rsidRDefault="00DC3C9B" w:rsidP="00DC3C9B">
      <w:pPr>
        <w:pStyle w:val="B1"/>
        <w:rPr>
          <w:highlight w:val="lightGray"/>
        </w:rPr>
      </w:pPr>
      <w:r w:rsidRPr="00DC3C9B">
        <w:rPr>
          <w:highlight w:val="lightGray"/>
        </w:rPr>
        <w:lastRenderedPageBreak/>
        <w:t>-</w:t>
      </w:r>
      <w:r w:rsidRPr="00DC3C9B">
        <w:rPr>
          <w:highlight w:val="lightGray"/>
        </w:rPr>
        <w:tab/>
        <w:t>Conditions defined in clause 7.3 of TS 38.101-2 [19] for reference sensitivity are fulfilled.</w:t>
      </w:r>
    </w:p>
    <w:p w:rsidR="00DC3C9B" w:rsidRPr="00DC3C9B" w:rsidRDefault="00DC3C9B" w:rsidP="00DC3C9B">
      <w:pPr>
        <w:pStyle w:val="B1"/>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rsidR="00DC3C9B" w:rsidRPr="00DC3C9B" w:rsidRDefault="00DC3C9B" w:rsidP="00DC3C9B">
      <w:pPr>
        <w:pStyle w:val="B1"/>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rsidR="00DC3C9B" w:rsidRPr="00DC3C9B" w:rsidRDefault="00DC3C9B" w:rsidP="00DC3C9B">
      <w:pPr>
        <w:pStyle w:val="TH"/>
        <w:rPr>
          <w:highlight w:val="lightGray"/>
        </w:rPr>
      </w:pPr>
      <w:r w:rsidRPr="00DC3C9B">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Conditions</w:t>
            </w:r>
          </w:p>
        </w:tc>
      </w:tr>
      <w:tr w:rsidR="00DC3C9B" w:rsidRPr="00DC3C9B" w:rsidTr="009207F4">
        <w:trPr>
          <w:jc w:val="center"/>
        </w:trPr>
        <w:tc>
          <w:tcPr>
            <w:tcW w:w="1111"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rsidR="00DC3C9B" w:rsidRPr="00DC3C9B" w:rsidRDefault="00DC3C9B" w:rsidP="009207F4">
            <w:pPr>
              <w:pStyle w:val="TAH"/>
              <w:rPr>
                <w:highlight w:val="lightGray"/>
              </w:rPr>
            </w:pPr>
            <w:r w:rsidRPr="00DC3C9B">
              <w:rPr>
                <w:highlight w:val="lightGray"/>
              </w:rPr>
              <w:t xml:space="preserve">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Maximum Io</w:t>
            </w:r>
          </w:p>
        </w:tc>
      </w:tr>
      <w:tr w:rsidR="00DC3C9B" w:rsidRPr="00DC3C9B" w:rsidTr="009207F4">
        <w:trPr>
          <w:jc w:val="center"/>
        </w:trPr>
        <w:tc>
          <w:tcPr>
            <w:tcW w:w="1111"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r>
      <w:tr w:rsidR="00DC3C9B" w:rsidRPr="00DC3C9B" w:rsidTr="009207F4">
        <w:trPr>
          <w:jc w:val="center"/>
        </w:trPr>
        <w:tc>
          <w:tcPr>
            <w:tcW w:w="1111" w:type="dxa"/>
            <w:tcBorders>
              <w:top w:val="single" w:sz="6" w:space="0" w:color="auto"/>
              <w:left w:val="single" w:sz="4" w:space="0" w:color="auto"/>
              <w:bottom w:val="nil"/>
              <w:right w:val="single" w:sz="6" w:space="0" w:color="auto"/>
            </w:tcBorders>
            <w:hideMark/>
          </w:tcPr>
          <w:p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highlight w:val="green"/>
              </w:rPr>
              <w:t>-70</w:t>
            </w:r>
          </w:p>
        </w:tc>
      </w:tr>
      <w:tr w:rsidR="00DC3C9B" w:rsidRPr="00DC3C9B"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highlight w:val="green"/>
              </w:rPr>
              <w:t>-50</w:t>
            </w:r>
          </w:p>
        </w:tc>
      </w:tr>
      <w:tr w:rsidR="00DC3C9B" w:rsidRPr="00DC3C9B"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rsidR="00DC3C9B" w:rsidRPr="00DC3C9B" w:rsidRDefault="00DC3C9B" w:rsidP="009207F4">
            <w:pPr>
              <w:pStyle w:val="TAN"/>
              <w:rPr>
                <w:highlight w:val="lightGray"/>
              </w:rPr>
            </w:pPr>
            <w:r w:rsidRPr="00DC3C9B">
              <w:rPr>
                <w:highlight w:val="lightGray"/>
              </w:rPr>
              <w:t>NOTE 2:</w:t>
            </w:r>
            <w:r w:rsidRPr="00DC3C9B">
              <w:rPr>
                <w:highlight w:val="lightGray"/>
              </w:rPr>
              <w:tab/>
              <w:t xml:space="preserve">Values based on </w:t>
            </w:r>
            <w:proofErr w:type="spellStart"/>
            <w:r w:rsidRPr="00DC3C9B">
              <w:rPr>
                <w:highlight w:val="lightGray"/>
              </w:rPr>
              <w:t>Refsens</w:t>
            </w:r>
            <w:proofErr w:type="spellEnd"/>
            <w:r w:rsidRPr="00DC3C9B">
              <w:rPr>
                <w:highlight w:val="lightGray"/>
              </w:rPr>
              <w:t xml:space="preserve"> and EIS spherical coverage as defined in clauses 7.3.2 and 7.3.4 of TS 38.101-2 [19]. Applicable side condition selected depending on angle of arrival.</w:t>
            </w:r>
          </w:p>
          <w:p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and related parameters may need to be adjusted to ensure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at UE baseband is above the value defined in this table.</w:t>
            </w:r>
          </w:p>
        </w:tc>
      </w:tr>
    </w:tbl>
    <w:p w:rsidR="00DC3C9B" w:rsidRPr="00DC3C9B"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rsidR="00DC3C9B" w:rsidRPr="00DC3C9B" w:rsidRDefault="00DC3C9B" w:rsidP="00DC3C9B">
      <w:pPr>
        <w:pStyle w:val="B1"/>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rsidR="00DC3C9B" w:rsidRPr="00DC3C9B" w:rsidRDefault="00DC3C9B" w:rsidP="00DC3C9B">
      <w:pPr>
        <w:pStyle w:val="B1"/>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rsidR="00DC3C9B" w:rsidRPr="00DC3C9B" w:rsidRDefault="00DC3C9B" w:rsidP="00DC3C9B">
      <w:pPr>
        <w:pStyle w:val="B1"/>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Conditions</w:t>
            </w:r>
          </w:p>
        </w:tc>
      </w:tr>
      <w:tr w:rsidR="00DC3C9B" w:rsidRPr="00DC3C9B" w:rsidTr="009207F4">
        <w:trPr>
          <w:jc w:val="center"/>
        </w:trPr>
        <w:tc>
          <w:tcPr>
            <w:tcW w:w="1030"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rsidR="00DC3C9B" w:rsidRPr="00DC3C9B" w:rsidRDefault="00DC3C9B" w:rsidP="009207F4">
            <w:pPr>
              <w:pStyle w:val="TAH"/>
              <w:rPr>
                <w:highlight w:val="lightGray"/>
              </w:rPr>
            </w:pPr>
            <w:r w:rsidRPr="00DC3C9B">
              <w:rPr>
                <w:highlight w:val="lightGray"/>
              </w:rPr>
              <w:t xml:space="preserve">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rsidTr="009207F4">
        <w:trPr>
          <w:jc w:val="center"/>
        </w:trPr>
        <w:tc>
          <w:tcPr>
            <w:tcW w:w="0" w:type="auto"/>
            <w:tcBorders>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rsidR="00DC3C9B" w:rsidRPr="00DC3C9B" w:rsidRDefault="00DC3C9B" w:rsidP="009207F4">
            <w:pPr>
              <w:pStyle w:val="TAH"/>
              <w:rPr>
                <w:highlight w:val="lightGray"/>
              </w:rPr>
            </w:pPr>
            <w:r w:rsidRPr="00DC3C9B">
              <w:rPr>
                <w:highlight w:val="lightGray"/>
              </w:rPr>
              <w:t>Maximum Io</w:t>
            </w:r>
          </w:p>
        </w:tc>
      </w:tr>
      <w:tr w:rsidR="00DC3C9B" w:rsidRPr="00DC3C9B" w:rsidTr="009207F4">
        <w:trPr>
          <w:jc w:val="center"/>
        </w:trPr>
        <w:tc>
          <w:tcPr>
            <w:tcW w:w="1030" w:type="dxa"/>
            <w:tcBorders>
              <w:top w:val="single" w:sz="6" w:space="0" w:color="auto"/>
              <w:left w:val="single" w:sz="4"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rsidR="00DC3C9B" w:rsidRPr="00DC3C9B" w:rsidRDefault="00DC3C9B" w:rsidP="009207F4">
            <w:pPr>
              <w:pStyle w:val="TAH"/>
              <w:rPr>
                <w:highlight w:val="lightGray"/>
              </w:rPr>
            </w:pPr>
            <w:r w:rsidRPr="00DC3C9B">
              <w:rPr>
                <w:highlight w:val="lightGray"/>
              </w:rPr>
              <w:t>dBm/</w:t>
            </w:r>
            <w:proofErr w:type="spellStart"/>
            <w:r w:rsidRPr="00DC3C9B">
              <w:rPr>
                <w:highlight w:val="lightGray"/>
              </w:rPr>
              <w:t>BW</w:t>
            </w:r>
            <w:r w:rsidRPr="00DC3C9B">
              <w:rPr>
                <w:highlight w:val="lightGray"/>
                <w:vertAlign w:val="subscript"/>
              </w:rPr>
              <w:t>Channel</w:t>
            </w:r>
            <w:proofErr w:type="spellEnd"/>
          </w:p>
        </w:tc>
      </w:tr>
      <w:tr w:rsidR="00DC3C9B" w:rsidRPr="00DC3C9B" w:rsidTr="009207F4">
        <w:trPr>
          <w:jc w:val="center"/>
        </w:trPr>
        <w:tc>
          <w:tcPr>
            <w:tcW w:w="0" w:type="auto"/>
            <w:tcBorders>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rsidR="00DC3C9B" w:rsidRPr="00DC3C9B" w:rsidRDefault="00DC3C9B" w:rsidP="009207F4">
            <w:pPr>
              <w:pStyle w:val="TAH"/>
              <w:rPr>
                <w:highlight w:val="lightGray"/>
              </w:rPr>
            </w:pPr>
          </w:p>
        </w:tc>
      </w:tr>
      <w:tr w:rsidR="00DC3C9B" w:rsidRPr="00DC3C9B"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rsidR="00DC3C9B" w:rsidRPr="00DC3C9B" w:rsidRDefault="00DC3C9B" w:rsidP="009207F4">
            <w:pPr>
              <w:pStyle w:val="TAC"/>
              <w:rPr>
                <w:highlight w:val="lightGray"/>
              </w:rPr>
            </w:pPr>
            <w:r w:rsidRPr="009207F4">
              <w:rPr>
                <w:highlight w:val="green"/>
              </w:rPr>
              <w:t>-50</w:t>
            </w:r>
          </w:p>
        </w:tc>
      </w:tr>
      <w:tr w:rsidR="00DC3C9B" w:rsidRPr="009C580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r w:rsidRPr="00DC3C9B">
              <w:rPr>
                <w:highlight w:val="lightGray"/>
                <w:lang w:eastAsia="zh-CN"/>
              </w:rPr>
              <w:t xml:space="preserve"> is the minimum SSB </w:t>
            </w:r>
            <w:proofErr w:type="spellStart"/>
            <w:r w:rsidRPr="00DC3C9B">
              <w:rPr>
                <w:highlight w:val="lightGray"/>
              </w:rPr>
              <w:t>Ês</w:t>
            </w:r>
            <w:proofErr w:type="spellEnd"/>
            <w:r w:rsidRPr="00DC3C9B">
              <w:rPr>
                <w:highlight w:val="lightGray"/>
              </w:rPr>
              <w:t>/</w:t>
            </w:r>
            <w:proofErr w:type="spellStart"/>
            <w:r w:rsidRPr="00DC3C9B">
              <w:rPr>
                <w:highlight w:val="lightGray"/>
              </w:rPr>
              <w:t>Iot</w:t>
            </w:r>
            <w:proofErr w:type="spellEnd"/>
            <w:r w:rsidRPr="00DC3C9B">
              <w:rPr>
                <w:highlight w:val="lightGray"/>
                <w:lang w:eastAsia="zh-CN"/>
              </w:rPr>
              <w:t xml:space="preserve"> of the pair of SSBs to which the requirement applies.</w:t>
            </w:r>
          </w:p>
          <w:p w:rsidR="00DC3C9B" w:rsidRPr="00DC3C9B" w:rsidRDefault="00DC3C9B" w:rsidP="009207F4">
            <w:pPr>
              <w:pStyle w:val="TAN"/>
              <w:rPr>
                <w:highlight w:val="lightGray"/>
              </w:rPr>
            </w:pPr>
            <w:r w:rsidRPr="00DC3C9B">
              <w:rPr>
                <w:highlight w:val="lightGray"/>
              </w:rPr>
              <w:t>NOTE 3:</w:t>
            </w:r>
            <w:r w:rsidRPr="00DC3C9B">
              <w:rPr>
                <w:highlight w:val="lightGray"/>
              </w:rPr>
              <w:tab/>
              <w:t xml:space="preserve">Values based on </w:t>
            </w:r>
            <w:proofErr w:type="spellStart"/>
            <w:r w:rsidRPr="00DC3C9B">
              <w:rPr>
                <w:highlight w:val="lightGray"/>
              </w:rPr>
              <w:t>Refsens</w:t>
            </w:r>
            <w:proofErr w:type="spellEnd"/>
            <w:r w:rsidRPr="00DC3C9B">
              <w:rPr>
                <w:highlight w:val="lightGray"/>
              </w:rPr>
              <w:t xml:space="preserve"> and EIS spherical coverage as defined in clauses 7.3.2 and 7.3.4 of TS 38.101-2 [19]. Applicable side condition selected depending on angle of arrival.</w:t>
            </w:r>
          </w:p>
          <w:p w:rsidR="00DC3C9B" w:rsidRPr="009C5807" w:rsidRDefault="00DC3C9B" w:rsidP="009207F4">
            <w:pPr>
              <w:pStyle w:val="TAN"/>
            </w:pPr>
            <w:r w:rsidRPr="00DC3C9B">
              <w:rPr>
                <w:highlight w:val="lightGray"/>
              </w:rPr>
              <w:t>NOTE 4:</w:t>
            </w:r>
            <w:r w:rsidRPr="00DC3C9B">
              <w:rPr>
                <w:highlight w:val="lightGray"/>
              </w:rPr>
              <w:tab/>
              <w:t xml:space="preserve">In the test cases, the SSB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and related parameters may need to be adjusted to ensure </w:t>
            </w:r>
            <w:proofErr w:type="spellStart"/>
            <w:r w:rsidRPr="00DC3C9B">
              <w:rPr>
                <w:rFonts w:hint="eastAsia"/>
                <w:highlight w:val="lightGray"/>
              </w:rPr>
              <w:t>Ê</w:t>
            </w:r>
            <w:r w:rsidRPr="00DC3C9B">
              <w:rPr>
                <w:highlight w:val="lightGray"/>
              </w:rPr>
              <w:t>s</w:t>
            </w:r>
            <w:proofErr w:type="spellEnd"/>
            <w:r w:rsidRPr="00DC3C9B">
              <w:rPr>
                <w:highlight w:val="lightGray"/>
              </w:rPr>
              <w:t>/</w:t>
            </w:r>
            <w:proofErr w:type="spellStart"/>
            <w:r w:rsidRPr="00DC3C9B">
              <w:rPr>
                <w:highlight w:val="lightGray"/>
              </w:rPr>
              <w:t>Iot</w:t>
            </w:r>
            <w:proofErr w:type="spellEnd"/>
            <w:r w:rsidRPr="00DC3C9B">
              <w:rPr>
                <w:highlight w:val="lightGray"/>
              </w:rPr>
              <w:t xml:space="preserve"> at UE baseband is above the value defined in this table.</w:t>
            </w:r>
          </w:p>
        </w:tc>
      </w:tr>
    </w:tbl>
    <w:p w:rsidR="00DC3C9B"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207F4" w:rsidRPr="009207F4" w:rsidTr="009207F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Minimum SSB_RP</w:t>
            </w:r>
            <w:r w:rsidRPr="009207F4">
              <w:rPr>
                <w:rFonts w:ascii="Arial" w:hAnsi="Arial" w:cs="Arial"/>
                <w:b/>
                <w:sz w:val="18"/>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SSB </w:t>
            </w:r>
            <w:proofErr w:type="spellStart"/>
            <w:r w:rsidRPr="009207F4">
              <w:rPr>
                <w:rFonts w:ascii="Arial" w:hAnsi="Arial" w:cs="Arial"/>
                <w:b/>
                <w:sz w:val="18"/>
                <w:highlight w:val="lightGray"/>
              </w:rPr>
              <w:t>Ês</w:t>
            </w:r>
            <w:proofErr w:type="spellEnd"/>
            <w:r w:rsidRPr="009207F4">
              <w:rPr>
                <w:rFonts w:ascii="Arial" w:hAnsi="Arial" w:cs="Arial"/>
                <w:b/>
                <w:sz w:val="18"/>
                <w:highlight w:val="lightGray"/>
              </w:rPr>
              <w:t>/</w:t>
            </w:r>
            <w:proofErr w:type="spellStart"/>
            <w:r w:rsidRPr="009207F4">
              <w:rPr>
                <w:rFonts w:ascii="Arial" w:hAnsi="Arial" w:cs="Arial"/>
                <w:b/>
                <w:sz w:val="18"/>
                <w:highlight w:val="lightGray"/>
              </w:rPr>
              <w:t>Iot</w:t>
            </w:r>
            <w:proofErr w:type="spellEnd"/>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dBm / </w:t>
            </w:r>
            <w:r w:rsidRPr="009207F4">
              <w:rPr>
                <w:rFonts w:ascii="Arial" w:hAnsi="Arial"/>
                <w:b/>
                <w:sz w:val="18"/>
                <w:highlight w:val="lightGray"/>
              </w:rPr>
              <w:t>SCS</w:t>
            </w:r>
            <w:r w:rsidRPr="009207F4">
              <w:rPr>
                <w:rFonts w:ascii="Arial" w:hAnsi="Arial"/>
                <w:b/>
                <w:sz w:val="18"/>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dB</w:t>
            </w: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r>
      <w:tr w:rsidR="009207F4" w:rsidRPr="009207F4" w:rsidTr="009207F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green"/>
                <w:lang w:eastAsia="ja-JP"/>
              </w:rPr>
              <w:t>≥-3</w:t>
            </w: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Spherical coverage</w:t>
            </w:r>
            <w:r w:rsidRPr="009207F4">
              <w:rPr>
                <w:rFonts w:ascii="Arial" w:hAnsi="Arial" w:cs="Arial"/>
                <w:b/>
                <w:sz w:val="18"/>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≥-3</w:t>
            </w: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-114.3+Z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-110.8+Z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9207F4"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spacing w:after="0"/>
              <w:rPr>
                <w:rFonts w:ascii="Arial" w:eastAsia="Yu Mincho" w:hAnsi="Arial" w:cs="Arial"/>
                <w:sz w:val="18"/>
                <w:highlight w:val="lightGray"/>
                <w:lang w:eastAsia="ja-JP"/>
              </w:rPr>
            </w:pPr>
          </w:p>
        </w:tc>
      </w:tr>
      <w:tr w:rsidR="009207F4" w:rsidRPr="005A2E40" w:rsidTr="009207F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9207F4" w:rsidRPr="009207F4" w:rsidRDefault="009207F4" w:rsidP="009207F4">
            <w:pPr>
              <w:pStyle w:val="TAN"/>
              <w:rPr>
                <w:highlight w:val="lightGray"/>
              </w:rPr>
            </w:pPr>
            <w:r w:rsidRPr="009207F4">
              <w:rPr>
                <w:highlight w:val="lightGray"/>
              </w:rPr>
              <w:t>NOTE 1:</w:t>
            </w:r>
            <w:r w:rsidRPr="009207F4">
              <w:rPr>
                <w:highlight w:val="lightGray"/>
              </w:rPr>
              <w:tab/>
              <w:t>Values based on EIS spherical coverage as defined in clause 7.3.4 of TS 38.101-2 [19]. Side condition applies for directions in which EIS spherical coverage requirement is met.</w:t>
            </w:r>
          </w:p>
          <w:p w:rsidR="009207F4" w:rsidRPr="009207F4" w:rsidRDefault="009207F4" w:rsidP="009207F4">
            <w:pPr>
              <w:pStyle w:val="TAN"/>
              <w:rPr>
                <w:highlight w:val="lightGray"/>
              </w:rPr>
            </w:pPr>
            <w:r w:rsidRPr="009207F4">
              <w:rPr>
                <w:highlight w:val="lightGray"/>
              </w:rPr>
              <w:t>NOTE 2:</w:t>
            </w:r>
            <w:r w:rsidRPr="009207F4">
              <w:rPr>
                <w:highlight w:val="lightGray"/>
              </w:rPr>
              <w:tab/>
              <w:t xml:space="preserve">Values specified at the Reference point to give minimum SSB </w:t>
            </w:r>
            <w:proofErr w:type="spellStart"/>
            <w:r w:rsidRPr="009207F4">
              <w:rPr>
                <w:highlight w:val="lightGray"/>
              </w:rPr>
              <w:t>Ês</w:t>
            </w:r>
            <w:proofErr w:type="spellEnd"/>
            <w:r w:rsidRPr="009207F4">
              <w:rPr>
                <w:highlight w:val="lightGray"/>
              </w:rPr>
              <w:t>/</w:t>
            </w:r>
            <w:proofErr w:type="spellStart"/>
            <w:r w:rsidRPr="009207F4">
              <w:rPr>
                <w:highlight w:val="lightGray"/>
              </w:rPr>
              <w:t>Iot</w:t>
            </w:r>
            <w:proofErr w:type="spellEnd"/>
            <w:r w:rsidRPr="009207F4">
              <w:rPr>
                <w:highlight w:val="lightGray"/>
              </w:rPr>
              <w:t>, with no applied noise.</w:t>
            </w:r>
          </w:p>
          <w:p w:rsidR="009207F4" w:rsidRPr="005A2E40" w:rsidRDefault="009207F4" w:rsidP="009207F4">
            <w:pPr>
              <w:pStyle w:val="TAN"/>
              <w:rPr>
                <w:lang w:val="en-US"/>
              </w:rPr>
            </w:pPr>
            <w:r w:rsidRPr="009207F4">
              <w:rPr>
                <w:highlight w:val="lightGray"/>
              </w:rPr>
              <w:t>NOTE 3:</w:t>
            </w:r>
            <w:r w:rsidRPr="009207F4">
              <w:rPr>
                <w:highlight w:val="lightGray"/>
              </w:rPr>
              <w:tab/>
              <w:t xml:space="preserve">For UEs that support multiple FR2 bands, Rx Beam Peak values are increased by </w:t>
            </w:r>
            <w:r w:rsidRPr="009207F4">
              <w:rPr>
                <w:highlight w:val="lightGray"/>
                <w:lang w:val="en-US"/>
              </w:rPr>
              <w:t>∆</w:t>
            </w:r>
            <w:proofErr w:type="gramStart"/>
            <w:r w:rsidRPr="009207F4">
              <w:rPr>
                <w:highlight w:val="lightGray"/>
                <w:lang w:val="en-US"/>
              </w:rPr>
              <w:t>MB</w:t>
            </w:r>
            <w:r w:rsidRPr="009207F4">
              <w:rPr>
                <w:highlight w:val="lightGray"/>
                <w:vertAlign w:val="subscript"/>
                <w:lang w:val="en-US"/>
              </w:rPr>
              <w:t>P,n</w:t>
            </w:r>
            <w:proofErr w:type="gramEnd"/>
            <w:r w:rsidRPr="009207F4">
              <w:rPr>
                <w:iCs/>
                <w:highlight w:val="lightGray"/>
              </w:rPr>
              <w:t xml:space="preserve"> and </w:t>
            </w:r>
            <w:r w:rsidRPr="009207F4">
              <w:rPr>
                <w:highlight w:val="lightGray"/>
              </w:rPr>
              <w:t xml:space="preserve">Spherical coverage values are increased by </w:t>
            </w:r>
            <w:r w:rsidRPr="009207F4">
              <w:rPr>
                <w:highlight w:val="lightGray"/>
                <w:lang w:val="en-US"/>
              </w:rPr>
              <w:t>∆MB</w:t>
            </w:r>
            <w:r w:rsidRPr="009207F4">
              <w:rPr>
                <w:highlight w:val="lightGray"/>
                <w:vertAlign w:val="subscript"/>
                <w:lang w:val="en-US"/>
              </w:rPr>
              <w:t>S,n</w:t>
            </w:r>
            <w:r w:rsidRPr="009207F4">
              <w:rPr>
                <w:iCs/>
                <w:highlight w:val="lightGray"/>
              </w:rPr>
              <w:t xml:space="preserve">, the </w:t>
            </w:r>
            <w:r w:rsidRPr="009207F4">
              <w:rPr>
                <w:highlight w:val="lightGray"/>
              </w:rPr>
              <w:t>UE multi-band relaxation factor</w:t>
            </w:r>
            <w:r w:rsidRPr="009207F4">
              <w:rPr>
                <w:iCs/>
                <w:highlight w:val="lightGray"/>
              </w:rPr>
              <w:t xml:space="preserve"> in dB specified in </w:t>
            </w:r>
            <w:r w:rsidRPr="009207F4">
              <w:rPr>
                <w:highlight w:val="lightGray"/>
              </w:rPr>
              <w:t xml:space="preserve">clause 6.2.1 of </w:t>
            </w:r>
            <w:r w:rsidRPr="009207F4">
              <w:rPr>
                <w:iCs/>
                <w:highlight w:val="lightGray"/>
              </w:rPr>
              <w:t xml:space="preserve">TS 38.101-2 </w:t>
            </w:r>
            <w:r w:rsidRPr="009207F4">
              <w:rPr>
                <w:highlight w:val="lightGray"/>
              </w:rPr>
              <w:t>[19].</w:t>
            </w:r>
          </w:p>
        </w:tc>
      </w:tr>
    </w:tbl>
    <w:p w:rsidR="009207F4" w:rsidRDefault="009207F4" w:rsidP="00DC3C9B">
      <w:pPr>
        <w:rPr>
          <w:rFonts w:eastAsia="Malgun Gothic"/>
          <w:lang w:eastAsia="ko-KR"/>
        </w:rPr>
      </w:pPr>
    </w:p>
    <w:p w:rsidR="009207F4" w:rsidRPr="00895AA5" w:rsidRDefault="009207F4" w:rsidP="009207F4">
      <w:pPr>
        <w:jc w:val="both"/>
        <w:rPr>
          <w:rFonts w:ascii="Arial" w:hAnsi="Arial"/>
        </w:rPr>
      </w:pPr>
      <w:r>
        <w:rPr>
          <w:rFonts w:ascii="Arial" w:hAnsi="Arial"/>
        </w:rPr>
        <w:lastRenderedPageBreak/>
        <w:t>Normal conditions with SSB Es/</w:t>
      </w:r>
      <w:proofErr w:type="spellStart"/>
      <w:r>
        <w:rPr>
          <w:rFonts w:ascii="Arial" w:hAnsi="Arial"/>
        </w:rPr>
        <w:t>Iot</w:t>
      </w:r>
      <w:proofErr w:type="spellEnd"/>
      <w:r>
        <w:rPr>
          <w:rFonts w:ascii="Arial" w:hAnsi="Arial"/>
        </w:rPr>
        <w:t xml:space="preserve"> &gt;= -3 dB and Total Io &lt; -50dBm are selected for Test 1. For Test 2, normal conditions with SSB Es/</w:t>
      </w:r>
      <w:proofErr w:type="spellStart"/>
      <w:r>
        <w:rPr>
          <w:rFonts w:ascii="Arial" w:hAnsi="Arial"/>
        </w:rPr>
        <w:t>Iot</w:t>
      </w:r>
      <w:proofErr w:type="spellEnd"/>
      <w:r>
        <w:rPr>
          <w:rFonts w:ascii="Arial" w:hAnsi="Arial"/>
        </w:rPr>
        <w:t xml:space="preserve"> &gt;= -3 dB are selected. the test case uncertainties are such that the Total Io &lt;-70 dBm can be ensured in the lower part of the interval, but the Total Io can be &gt; -70 dBm for the upper part of the interval.</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0.</w:t>
      </w:r>
      <w:r w:rsidR="00116B1B">
        <w:rPr>
          <w:rFonts w:ascii="Arial" w:hAnsi="Arial"/>
          <w:lang w:eastAsia="zh-CN"/>
        </w:rPr>
        <w:t>4</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lastRenderedPageBreak/>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9C5807" w:rsidRDefault="009207F4" w:rsidP="00DC3C9B">
      <w:pPr>
        <w:rPr>
          <w:rFonts w:eastAsia="Malgun Gothic"/>
          <w:lang w:eastAsia="ko-KR"/>
        </w:rPr>
      </w:pPr>
    </w:p>
    <w:p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6772" w:type="dxa"/>
            <w:gridSpan w:val="4"/>
            <w:shd w:val="clear" w:color="auto" w:fill="auto"/>
            <w:noWrap/>
          </w:tcPr>
          <w:p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rsidTr="00046834">
        <w:trPr>
          <w:trHeight w:val="300"/>
          <w:jc w:val="center"/>
        </w:trPr>
        <w:tc>
          <w:tcPr>
            <w:tcW w:w="1817" w:type="dxa"/>
            <w:shd w:val="clear" w:color="auto" w:fill="auto"/>
            <w:noWrap/>
            <w:hideMark/>
          </w:tcPr>
          <w:p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shd w:val="clear" w:color="auto" w:fill="auto"/>
            <w:noWrap/>
            <w:hideMark/>
          </w:tcPr>
          <w:p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rsidTr="00046834">
        <w:trPr>
          <w:trHeight w:val="300"/>
          <w:jc w:val="center"/>
        </w:trPr>
        <w:tc>
          <w:tcPr>
            <w:tcW w:w="1817" w:type="dxa"/>
            <w:shd w:val="clear" w:color="auto" w:fill="auto"/>
            <w:noWrap/>
            <w:hideMark/>
          </w:tcPr>
          <w:p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shd w:val="clear" w:color="auto" w:fill="auto"/>
            <w:noWrap/>
            <w:hideMark/>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bookmarkStart w:id="28" w:name="_GoBack"/>
        <w:bookmarkEnd w:id="28"/>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rsidTr="00046834">
        <w:trPr>
          <w:trHeight w:val="300"/>
          <w:jc w:val="center"/>
        </w:trPr>
        <w:tc>
          <w:tcPr>
            <w:tcW w:w="1817" w:type="dxa"/>
            <w:shd w:val="clear" w:color="auto" w:fill="auto"/>
            <w:noWrap/>
          </w:tcPr>
          <w:p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shd w:val="clear" w:color="auto" w:fill="auto"/>
            <w:noWrap/>
          </w:tcPr>
          <w:p w:rsidR="00116B1B" w:rsidRPr="009C5807" w:rsidRDefault="00116B1B" w:rsidP="00046834">
            <w:pPr>
              <w:pStyle w:val="TAL"/>
              <w:rPr>
                <w:lang w:eastAsia="zh-CN"/>
              </w:rPr>
            </w:pPr>
            <w:r w:rsidRPr="00116B1B">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5.7.</w:t>
      </w:r>
      <w:r w:rsidR="009207F4">
        <w:rPr>
          <w:rFonts w:ascii="Arial" w:hAnsi="Arial"/>
        </w:rPr>
        <w:t>4</w:t>
      </w:r>
      <w:r>
        <w:rPr>
          <w:rFonts w:ascii="Arial" w:hAnsi="Arial"/>
        </w:rPr>
        <w:t>.</w:t>
      </w:r>
      <w:r w:rsidR="009207F4">
        <w:rPr>
          <w:rFonts w:ascii="Arial" w:hAnsi="Arial"/>
        </w:rPr>
        <w:t>1</w:t>
      </w:r>
      <w:r>
        <w:rPr>
          <w:rFonts w:ascii="Arial" w:hAnsi="Arial"/>
        </w:rPr>
        <w:t xml:space="preserve"> and 7.7.</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BF0C67" w:rsidRDefault="00BF0C67" w:rsidP="00BF0C67">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66498" w:rsidRPr="00B076CD" w:rsidRDefault="00A66498" w:rsidP="00B076CD">
      <w:pPr>
        <w:jc w:val="both"/>
        <w:rPr>
          <w:rFonts w:ascii="Arial" w:hAnsi="Arial"/>
        </w:rPr>
      </w:pP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9207F4">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7F4" w:rsidRDefault="009207F4" w:rsidP="00571E38">
      <w:pPr>
        <w:spacing w:after="0"/>
      </w:pPr>
      <w:r>
        <w:separator/>
      </w:r>
    </w:p>
  </w:endnote>
  <w:endnote w:type="continuationSeparator" w:id="0">
    <w:p w:rsidR="009207F4" w:rsidRDefault="009207F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7F4" w:rsidRDefault="009207F4" w:rsidP="00571E38">
      <w:pPr>
        <w:spacing w:after="0"/>
      </w:pPr>
      <w:r>
        <w:separator/>
      </w:r>
    </w:p>
  </w:footnote>
  <w:footnote w:type="continuationSeparator" w:id="0">
    <w:p w:rsidR="009207F4" w:rsidRDefault="009207F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3676</Words>
  <Characters>20958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Cardalda-Garcia Adrian 1SI1</cp:lastModifiedBy>
  <cp:revision>6</cp:revision>
  <dcterms:created xsi:type="dcterms:W3CDTF">2022-04-14T13:12:00Z</dcterms:created>
  <dcterms:modified xsi:type="dcterms:W3CDTF">2022-05-13T08:43:00Z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